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B64" w:rsidRDefault="00CB7B64" w:rsidP="000B5CFD">
      <w:pPr>
        <w:widowControl w:val="0"/>
        <w:spacing w:after="0" w:line="360" w:lineRule="auto"/>
        <w:ind w:right="49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9F71D8">
        <w:rPr>
          <w:rFonts w:ascii="Palatino Linotype" w:hAnsi="Palatino Linotype" w:cs="Arial"/>
          <w:b/>
          <w:sz w:val="24"/>
          <w:szCs w:val="24"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>
        <w:rPr>
          <w:rFonts w:ascii="Palatino Linotype" w:hAnsi="Palatino Linotype" w:cs="Arial"/>
          <w:b/>
          <w:sz w:val="24"/>
          <w:szCs w:val="24"/>
        </w:rPr>
        <w:t xml:space="preserve">CUADRAGÉSIMA SEXTA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SESIÓN ORDINARIA DE </w:t>
      </w:r>
      <w:r>
        <w:rPr>
          <w:rFonts w:ascii="Palatino Linotype" w:hAnsi="Palatino Linotype" w:cs="Arial"/>
          <w:b/>
          <w:sz w:val="24"/>
          <w:szCs w:val="24"/>
        </w:rPr>
        <w:t xml:space="preserve">DOCE DE DICIEMBRE </w:t>
      </w:r>
      <w:r w:rsidRPr="009F71D8">
        <w:rPr>
          <w:rFonts w:ascii="Palatino Linotype" w:hAnsi="Palatino Linotype" w:cs="Arial"/>
          <w:b/>
          <w:sz w:val="24"/>
          <w:szCs w:val="24"/>
        </w:rPr>
        <w:t>DE DOS MIL DIECI</w:t>
      </w:r>
      <w:r>
        <w:rPr>
          <w:rFonts w:ascii="Palatino Linotype" w:hAnsi="Palatino Linotype" w:cs="Arial"/>
          <w:b/>
          <w:sz w:val="24"/>
          <w:szCs w:val="24"/>
        </w:rPr>
        <w:t>OCHO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, EN EL RECURSO DE REVISIÓN </w:t>
      </w:r>
      <w:r>
        <w:rPr>
          <w:rFonts w:ascii="Palatino Linotype" w:hAnsi="Palatino Linotype" w:cs="Arial"/>
          <w:b/>
          <w:bCs/>
          <w:sz w:val="24"/>
          <w:szCs w:val="24"/>
        </w:rPr>
        <w:t>04030</w:t>
      </w:r>
      <w:r w:rsidRPr="009F71D8">
        <w:rPr>
          <w:rFonts w:ascii="Palatino Linotype" w:hAnsi="Palatino Linotype" w:cs="Arial"/>
          <w:b/>
          <w:bCs/>
          <w:sz w:val="24"/>
          <w:szCs w:val="24"/>
        </w:rPr>
        <w:t>/INFOEM/IP/RR/201</w:t>
      </w:r>
      <w:r>
        <w:rPr>
          <w:rFonts w:ascii="Palatino Linotype" w:hAnsi="Palatino Linotype" w:cs="Arial"/>
          <w:b/>
          <w:bCs/>
          <w:sz w:val="24"/>
          <w:szCs w:val="24"/>
        </w:rPr>
        <w:t>8</w:t>
      </w:r>
      <w:r w:rsidRPr="009F71D8">
        <w:rPr>
          <w:rFonts w:ascii="Palatino Linotype" w:hAnsi="Palatino Linotype" w:cs="Arial"/>
          <w:b/>
          <w:bCs/>
          <w:sz w:val="24"/>
          <w:szCs w:val="24"/>
        </w:rPr>
        <w:t>.</w:t>
      </w:r>
    </w:p>
    <w:p w:rsidR="000B5CFD" w:rsidRPr="009F71D8" w:rsidRDefault="000B5CFD" w:rsidP="000B5CFD">
      <w:pPr>
        <w:widowControl w:val="0"/>
        <w:spacing w:after="0" w:line="360" w:lineRule="auto"/>
        <w:ind w:right="49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:rsidR="00CB7B64" w:rsidRDefault="00CB7B64" w:rsidP="000B5CFD">
      <w:pPr>
        <w:spacing w:after="0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9F71D8">
        <w:rPr>
          <w:rFonts w:ascii="Palatino Linotype" w:hAnsi="Palatino Linotype" w:cs="Arial"/>
          <w:sz w:val="24"/>
          <w:szCs w:val="24"/>
        </w:rPr>
        <w:t>Con fundamento en lo dispuesto por el artículo 14</w:t>
      </w:r>
      <w:r>
        <w:rPr>
          <w:rFonts w:ascii="Palatino Linotype" w:hAnsi="Palatino Linotype" w:cs="Arial"/>
          <w:sz w:val="24"/>
          <w:szCs w:val="24"/>
        </w:rPr>
        <w:t>,</w:t>
      </w:r>
      <w:r w:rsidRPr="009F71D8">
        <w:rPr>
          <w:rFonts w:ascii="Palatino Linotype" w:hAnsi="Palatino Linotype" w:cs="Arial"/>
          <w:sz w:val="24"/>
          <w:szCs w:val="24"/>
        </w:rPr>
        <w:t xml:space="preserve"> fracciones X y XI del Reglamento Interior del Instituto de Transparencia, Acceso a la Información Pública y Protección de Datos Personales del Estado de México y Municipios, la que suscribe</w:t>
      </w:r>
      <w:r w:rsidRPr="009F71D8">
        <w:rPr>
          <w:rFonts w:ascii="Palatino Linotype" w:hAnsi="Palatino Linotype" w:cs="Arial"/>
          <w:b/>
          <w:sz w:val="24"/>
          <w:szCs w:val="24"/>
          <w:lang w:val="es-ES_tradnl"/>
        </w:rPr>
        <w:t xml:space="preserve">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EVA ABAID YAPUR </w:t>
      </w:r>
      <w:r w:rsidRPr="009F71D8">
        <w:rPr>
          <w:rFonts w:ascii="Palatino Linotype" w:hAnsi="Palatino Linotype" w:cs="Arial"/>
          <w:sz w:val="24"/>
          <w:szCs w:val="24"/>
        </w:rPr>
        <w:t xml:space="preserve">emite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VOTO PARTICULAR </w:t>
      </w:r>
      <w:r w:rsidRPr="009F71D8">
        <w:rPr>
          <w:rFonts w:ascii="Palatino Linotype" w:hAnsi="Palatino Linotype" w:cs="Arial"/>
          <w:sz w:val="24"/>
          <w:szCs w:val="24"/>
        </w:rPr>
        <w:t xml:space="preserve">respecto de la resolución dictada en el recurso de revisión </w:t>
      </w:r>
      <w:r>
        <w:rPr>
          <w:rFonts w:ascii="Palatino Linotype" w:hAnsi="Palatino Linotype" w:cs="Arial"/>
          <w:b/>
          <w:bCs/>
          <w:sz w:val="24"/>
          <w:szCs w:val="24"/>
        </w:rPr>
        <w:t>04030</w:t>
      </w:r>
      <w:r w:rsidRPr="009F71D8">
        <w:rPr>
          <w:rFonts w:ascii="Palatino Linotype" w:hAnsi="Palatino Linotype" w:cs="Arial"/>
          <w:b/>
          <w:bCs/>
          <w:sz w:val="24"/>
          <w:szCs w:val="24"/>
        </w:rPr>
        <w:t>/INFOEM/IP/RR/201</w:t>
      </w:r>
      <w:r>
        <w:rPr>
          <w:rFonts w:ascii="Palatino Linotype" w:hAnsi="Palatino Linotype" w:cs="Arial"/>
          <w:b/>
          <w:bCs/>
          <w:sz w:val="24"/>
          <w:szCs w:val="24"/>
        </w:rPr>
        <w:t>8</w:t>
      </w:r>
      <w:r w:rsidRPr="009F71D8">
        <w:rPr>
          <w:rFonts w:ascii="Palatino Linotype" w:hAnsi="Palatino Linotype" w:cs="Arial"/>
          <w:sz w:val="24"/>
          <w:szCs w:val="24"/>
        </w:rPr>
        <w:t>, pronunciada por el Pleno de este Instituto an</w:t>
      </w:r>
      <w:r>
        <w:rPr>
          <w:rFonts w:ascii="Palatino Linotype" w:hAnsi="Palatino Linotype" w:cs="Arial"/>
          <w:sz w:val="24"/>
          <w:szCs w:val="24"/>
        </w:rPr>
        <w:t>te el proyecto presentado por</w:t>
      </w:r>
      <w:r w:rsidR="006F1617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="006F1617">
        <w:rPr>
          <w:rFonts w:ascii="Palatino Linotype" w:hAnsi="Palatino Linotype" w:cs="Arial"/>
          <w:sz w:val="24"/>
          <w:szCs w:val="24"/>
        </w:rPr>
        <w:t>returno</w:t>
      </w:r>
      <w:proofErr w:type="spellEnd"/>
      <w:r w:rsidR="006F1617">
        <w:rPr>
          <w:rFonts w:ascii="Palatino Linotype" w:hAnsi="Palatino Linotype" w:cs="Arial"/>
          <w:sz w:val="24"/>
          <w:szCs w:val="24"/>
        </w:rPr>
        <w:t xml:space="preserve"> por </w:t>
      </w:r>
      <w:r>
        <w:rPr>
          <w:rFonts w:ascii="Palatino Linotype" w:hAnsi="Palatino Linotype" w:cs="Arial"/>
          <w:sz w:val="24"/>
          <w:szCs w:val="24"/>
        </w:rPr>
        <w:t>el Comisionado</w:t>
      </w:r>
      <w:r w:rsidRPr="009F71D8">
        <w:rPr>
          <w:rFonts w:ascii="Palatino Linotype" w:hAnsi="Palatino Linotype" w:cs="Arial"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>JOSÉ GUADALUPE LUNA HERNÁNDEZ</w:t>
      </w:r>
      <w:r w:rsidRPr="009F71D8">
        <w:rPr>
          <w:rFonts w:ascii="Palatino Linotype" w:hAnsi="Palatino Linotype" w:cs="Arial"/>
          <w:sz w:val="24"/>
          <w:szCs w:val="24"/>
        </w:rPr>
        <w:t>, que es del tenor siguiente.</w:t>
      </w:r>
    </w:p>
    <w:p w:rsidR="000B5CFD" w:rsidRPr="009F71D8" w:rsidRDefault="000B5CFD" w:rsidP="000B5CFD">
      <w:pPr>
        <w:spacing w:after="0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</w:p>
    <w:p w:rsidR="00121C68" w:rsidRPr="006F1617" w:rsidRDefault="00CB7B64" w:rsidP="000B5CFD">
      <w:pPr>
        <w:spacing w:after="0" w:line="360" w:lineRule="auto"/>
        <w:jc w:val="both"/>
        <w:rPr>
          <w:rFonts w:ascii="Palatino Linotype" w:eastAsia="Calibri" w:hAnsi="Palatino Linotype" w:cs="Arial"/>
          <w:sz w:val="24"/>
          <w:szCs w:val="24"/>
        </w:rPr>
      </w:pPr>
      <w:r w:rsidRPr="006F1617">
        <w:rPr>
          <w:rFonts w:ascii="Palatino Linotype" w:hAnsi="Palatino Linotype"/>
          <w:sz w:val="24"/>
          <w:szCs w:val="24"/>
        </w:rPr>
        <w:t>Al respecto, tal y como quedó debidamente asentado en la resoluci</w:t>
      </w:r>
      <w:r w:rsidR="00121C68" w:rsidRPr="006F1617">
        <w:rPr>
          <w:rFonts w:ascii="Palatino Linotype" w:hAnsi="Palatino Linotype"/>
          <w:sz w:val="24"/>
          <w:szCs w:val="24"/>
        </w:rPr>
        <w:t>ón materia del presente voto, el</w:t>
      </w:r>
      <w:r w:rsidRPr="006F1617">
        <w:rPr>
          <w:rFonts w:ascii="Palatino Linotype" w:hAnsi="Palatino Linotype"/>
          <w:sz w:val="24"/>
          <w:szCs w:val="24"/>
        </w:rPr>
        <w:t xml:space="preserve"> particular requirió del</w:t>
      </w:r>
      <w:r w:rsidR="00121C68" w:rsidRPr="006F1617">
        <w:rPr>
          <w:rFonts w:ascii="Palatino Linotype" w:hAnsi="Palatino Linotype"/>
          <w:sz w:val="24"/>
          <w:szCs w:val="24"/>
        </w:rPr>
        <w:t xml:space="preserve"> </w:t>
      </w:r>
      <w:r w:rsidR="00121C68" w:rsidRPr="006F1617">
        <w:rPr>
          <w:rFonts w:ascii="Palatino Linotype" w:hAnsi="Palatino Linotype" w:cs="Arial"/>
          <w:b/>
          <w:sz w:val="24"/>
          <w:szCs w:val="24"/>
        </w:rPr>
        <w:t>Ayuntamiento de Huehuetoca</w:t>
      </w:r>
      <w:r w:rsidR="00121C68" w:rsidRPr="006F1617">
        <w:rPr>
          <w:rFonts w:ascii="Palatino Linotype" w:hAnsi="Palatino Linotype" w:cs="Arial"/>
          <w:sz w:val="24"/>
          <w:szCs w:val="24"/>
        </w:rPr>
        <w:t xml:space="preserve">, en lo sucesivo </w:t>
      </w:r>
      <w:r w:rsidR="00121C68" w:rsidRPr="006F1617">
        <w:rPr>
          <w:rFonts w:ascii="Palatino Linotype" w:hAnsi="Palatino Linotype"/>
          <w:b/>
          <w:sz w:val="24"/>
          <w:szCs w:val="24"/>
        </w:rPr>
        <w:t>EL S</w:t>
      </w:r>
      <w:r w:rsidRPr="006F1617">
        <w:rPr>
          <w:rFonts w:ascii="Palatino Linotype" w:hAnsi="Palatino Linotype"/>
          <w:b/>
          <w:sz w:val="24"/>
          <w:szCs w:val="24"/>
        </w:rPr>
        <w:t>UJETO OBLIGADO,</w:t>
      </w:r>
      <w:r w:rsidRPr="006F1617">
        <w:rPr>
          <w:rFonts w:ascii="Palatino Linotype" w:hAnsi="Palatino Linotype"/>
          <w:sz w:val="24"/>
          <w:szCs w:val="24"/>
        </w:rPr>
        <w:t xml:space="preserve"> </w:t>
      </w:r>
      <w:r w:rsidR="00121C68" w:rsidRPr="006F1617">
        <w:rPr>
          <w:rFonts w:ascii="Palatino Linotype" w:eastAsia="Calibri" w:hAnsi="Palatino Linotype" w:cs="Arial"/>
          <w:sz w:val="24"/>
          <w:szCs w:val="24"/>
        </w:rPr>
        <w:t>la revisión de las bases de licitaciones realizadas en el ejercicio fiscal de 2018 sobre adquisiciones de patrullas, ambulancias y moto patrullas, además solicitó toda la información que se encuentra en IPOMEX, a través del SAIMEX.</w:t>
      </w:r>
    </w:p>
    <w:p w:rsidR="00121C68" w:rsidRDefault="00CB7B64" w:rsidP="000B5CFD">
      <w:pPr>
        <w:spacing w:after="0" w:line="360" w:lineRule="auto"/>
        <w:ind w:right="49"/>
        <w:jc w:val="both"/>
        <w:rPr>
          <w:rFonts w:ascii="Palatino Linotype" w:eastAsia="Times New Roman" w:hAnsi="Palatino Linotype" w:cs="Arial"/>
          <w:sz w:val="24"/>
          <w:szCs w:val="24"/>
          <w:lang w:val="es-ES"/>
        </w:rPr>
      </w:pPr>
      <w:r>
        <w:rPr>
          <w:rFonts w:ascii="Palatino Linotype" w:hAnsi="Palatino Linotype" w:cs="Arial"/>
          <w:sz w:val="24"/>
          <w:szCs w:val="24"/>
        </w:rPr>
        <w:lastRenderedPageBreak/>
        <w:t xml:space="preserve">Así, en lo conducente de su respuesta </w:t>
      </w:r>
      <w:r>
        <w:rPr>
          <w:rFonts w:ascii="Palatino Linotype" w:hAnsi="Palatino Linotype" w:cs="Arial"/>
          <w:b/>
          <w:sz w:val="24"/>
          <w:szCs w:val="24"/>
        </w:rPr>
        <w:t xml:space="preserve">EL SUJETO OBLIGADO </w:t>
      </w:r>
      <w:r w:rsidR="00121C68">
        <w:rPr>
          <w:rFonts w:ascii="Palatino Linotype" w:hAnsi="Palatino Linotype" w:cs="Arial"/>
          <w:sz w:val="24"/>
          <w:szCs w:val="24"/>
        </w:rPr>
        <w:t xml:space="preserve">remitió el </w:t>
      </w:r>
      <w:r w:rsidR="00121C68" w:rsidRPr="00121C68">
        <w:rPr>
          <w:rFonts w:ascii="Palatino Linotype" w:eastAsia="Times New Roman" w:hAnsi="Palatino Linotype" w:cs="Arial"/>
          <w:sz w:val="24"/>
          <w:szCs w:val="24"/>
          <w:lang w:val="es-ES"/>
        </w:rPr>
        <w:t xml:space="preserve">Acta correspondiente a la Junta de Aclaraciones de la Convocatoria y Bases, además la Minuta de Trabajo del Comité de Adquisiciones de Bienes y Servicios sobre del Procedimiento Adquisitivo Licitación Pública de Carácter Nacional </w:t>
      </w:r>
      <w:r w:rsidR="00121C68" w:rsidRPr="00121C68">
        <w:rPr>
          <w:rFonts w:ascii="Palatino Linotype" w:eastAsia="Times New Roman" w:hAnsi="Palatino Linotype" w:cs="Arial"/>
          <w:b/>
          <w:sz w:val="24"/>
          <w:szCs w:val="24"/>
          <w:lang w:val="es-ES"/>
        </w:rPr>
        <w:t>No. MHU/DSPYVM/FORTASEG/LPN/01/2018</w:t>
      </w:r>
      <w:r w:rsidR="00121C68">
        <w:rPr>
          <w:rFonts w:ascii="Palatino Linotype" w:eastAsia="Times New Roman" w:hAnsi="Palatino Linotype" w:cs="Arial"/>
          <w:b/>
          <w:sz w:val="24"/>
          <w:szCs w:val="24"/>
          <w:lang w:val="es-ES"/>
        </w:rPr>
        <w:t>,</w:t>
      </w:r>
      <w:r w:rsidR="00121C68" w:rsidRPr="00121C68">
        <w:rPr>
          <w:rFonts w:ascii="Palatino Linotype" w:eastAsia="Times New Roman" w:hAnsi="Palatino Linotype" w:cs="Arial"/>
          <w:sz w:val="24"/>
          <w:szCs w:val="24"/>
          <w:lang w:val="es-ES"/>
        </w:rPr>
        <w:t xml:space="preserve"> para la Adquisición de</w:t>
      </w:r>
      <w:r w:rsidR="00121C68">
        <w:rPr>
          <w:rFonts w:ascii="Palatino Linotype" w:eastAsia="Times New Roman" w:hAnsi="Palatino Linotype" w:cs="Arial"/>
          <w:sz w:val="24"/>
          <w:szCs w:val="24"/>
          <w:lang w:val="es-ES"/>
        </w:rPr>
        <w:t>l</w:t>
      </w:r>
      <w:r w:rsidR="00121C68" w:rsidRPr="00121C68">
        <w:rPr>
          <w:rFonts w:ascii="Palatino Linotype" w:eastAsia="Times New Roman" w:hAnsi="Palatino Linotype" w:cs="Arial"/>
          <w:sz w:val="24"/>
          <w:szCs w:val="24"/>
          <w:lang w:val="es-ES"/>
        </w:rPr>
        <w:t xml:space="preserve"> Vehículo Terrestre Equipado para Patrulla. Por otra parte, adjuntó dos oficios donde se aprecia que giran instrucción a los servidores públicos habilitados de distintas áreas para que mantengan actualizado el portal del IPOMEX.</w:t>
      </w:r>
    </w:p>
    <w:p w:rsidR="000B5CFD" w:rsidRPr="00121C68" w:rsidRDefault="000B5CFD" w:rsidP="000B5CFD">
      <w:pPr>
        <w:spacing w:after="0" w:line="360" w:lineRule="auto"/>
        <w:ind w:right="49"/>
        <w:jc w:val="both"/>
        <w:rPr>
          <w:rFonts w:ascii="Palatino Linotype" w:hAnsi="Palatino Linotype"/>
          <w:i/>
          <w:color w:val="000000"/>
          <w:sz w:val="24"/>
          <w:szCs w:val="24"/>
        </w:rPr>
      </w:pPr>
    </w:p>
    <w:p w:rsidR="00CB7B64" w:rsidRDefault="00CB7B64" w:rsidP="000B5CFD">
      <w:pPr>
        <w:spacing w:after="0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Inconforme con dicha respuesta, </w:t>
      </w:r>
      <w:r w:rsidR="00121C68">
        <w:rPr>
          <w:rFonts w:ascii="Palatino Linotype" w:hAnsi="Palatino Linotype" w:cs="Arial"/>
          <w:b/>
          <w:sz w:val="24"/>
          <w:szCs w:val="24"/>
        </w:rPr>
        <w:t>EL</w:t>
      </w:r>
      <w:r>
        <w:rPr>
          <w:rFonts w:ascii="Palatino Linotype" w:hAnsi="Palatino Linotype" w:cs="Arial"/>
          <w:b/>
          <w:sz w:val="24"/>
          <w:szCs w:val="24"/>
        </w:rPr>
        <w:t xml:space="preserve"> RECURRENTE </w:t>
      </w:r>
      <w:r>
        <w:rPr>
          <w:rFonts w:ascii="Palatino Linotype" w:hAnsi="Palatino Linotype" w:cs="Arial"/>
          <w:sz w:val="24"/>
          <w:szCs w:val="24"/>
        </w:rPr>
        <w:t>interpuso e</w:t>
      </w:r>
      <w:r w:rsidR="000652F0">
        <w:rPr>
          <w:rFonts w:ascii="Palatino Linotype" w:hAnsi="Palatino Linotype" w:cs="Arial"/>
          <w:sz w:val="24"/>
          <w:szCs w:val="24"/>
        </w:rPr>
        <w:t>n recurso de revisión de mérito, señalando que no se le entregó la información completa.</w:t>
      </w:r>
    </w:p>
    <w:p w:rsidR="000B5CFD" w:rsidRDefault="000B5CFD" w:rsidP="000B5CFD">
      <w:pPr>
        <w:spacing w:after="0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</w:p>
    <w:p w:rsidR="000652F0" w:rsidRPr="000652F0" w:rsidRDefault="000652F0" w:rsidP="000B5CFD">
      <w:pPr>
        <w:spacing w:after="0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Cabe precisar que </w:t>
      </w:r>
      <w:r>
        <w:rPr>
          <w:rFonts w:ascii="Palatino Linotype" w:hAnsi="Palatino Linotype" w:cs="Arial"/>
          <w:b/>
          <w:sz w:val="24"/>
          <w:szCs w:val="24"/>
        </w:rPr>
        <w:t xml:space="preserve">EL SUJETO OBLIGADO </w:t>
      </w:r>
      <w:r>
        <w:rPr>
          <w:rFonts w:ascii="Palatino Linotype" w:hAnsi="Palatino Linotype" w:cs="Arial"/>
          <w:sz w:val="24"/>
          <w:szCs w:val="24"/>
        </w:rPr>
        <w:t xml:space="preserve">fue omiso en presentar el Informe Justificado correspondiente; sin embargo, la Ponencia Resolutora en el análisis al recurso refirió que el Ayuntamiento en un acto posterior, remitió vía correo electrónico </w:t>
      </w:r>
      <w:r w:rsidR="006F1617">
        <w:rPr>
          <w:rFonts w:ascii="Palatino Linotype" w:hAnsi="Palatino Linotype" w:cs="Arial"/>
          <w:sz w:val="24"/>
          <w:szCs w:val="24"/>
        </w:rPr>
        <w:t xml:space="preserve">institucional </w:t>
      </w:r>
      <w:r>
        <w:rPr>
          <w:rFonts w:ascii="Palatino Linotype" w:hAnsi="Palatino Linotype" w:cs="Arial"/>
          <w:sz w:val="24"/>
          <w:szCs w:val="24"/>
        </w:rPr>
        <w:t xml:space="preserve">un documento a través del cual señaló que </w:t>
      </w:r>
      <w:r w:rsidRPr="000652F0">
        <w:rPr>
          <w:rFonts w:ascii="Palatino Linotype" w:hAnsi="Palatino Linotype" w:cs="Arial"/>
          <w:sz w:val="24"/>
          <w:szCs w:val="24"/>
        </w:rPr>
        <w:t>la información requerida en relación a las obligaciones de trasparencia se encuentran</w:t>
      </w:r>
      <w:r>
        <w:rPr>
          <w:rFonts w:ascii="Palatino Linotype" w:hAnsi="Palatino Linotype" w:cs="Arial"/>
          <w:sz w:val="24"/>
          <w:szCs w:val="24"/>
        </w:rPr>
        <w:t xml:space="preserve"> publicadas en el portal IPOMEX y </w:t>
      </w:r>
      <w:r w:rsidRPr="000652F0">
        <w:rPr>
          <w:rFonts w:ascii="Palatino Linotype" w:hAnsi="Palatino Linotype" w:cs="Arial"/>
          <w:sz w:val="24"/>
          <w:szCs w:val="24"/>
        </w:rPr>
        <w:t xml:space="preserve">puede ser consultada directamente en la página para lo cual </w:t>
      </w:r>
      <w:r w:rsidR="006F1617">
        <w:rPr>
          <w:rFonts w:ascii="Palatino Linotype" w:hAnsi="Palatino Linotype" w:cs="Arial"/>
          <w:sz w:val="24"/>
          <w:szCs w:val="24"/>
        </w:rPr>
        <w:t>precisó</w:t>
      </w:r>
      <w:r>
        <w:rPr>
          <w:rFonts w:ascii="Palatino Linotype" w:hAnsi="Palatino Linotype" w:cs="Arial"/>
          <w:sz w:val="24"/>
          <w:szCs w:val="24"/>
        </w:rPr>
        <w:t xml:space="preserve"> </w:t>
      </w:r>
      <w:r w:rsidRPr="000652F0">
        <w:rPr>
          <w:rFonts w:ascii="Palatino Linotype" w:hAnsi="Palatino Linotype" w:cs="Arial"/>
          <w:sz w:val="24"/>
          <w:szCs w:val="24"/>
        </w:rPr>
        <w:t>la dirección electrónica, y, además, refirió que ésta no puede ser enviada por el SAIMEX debido a que no tiene capacidad suficiente</w:t>
      </w:r>
      <w:r>
        <w:rPr>
          <w:rFonts w:ascii="Palatino Linotype" w:hAnsi="Palatino Linotype" w:cs="Arial"/>
          <w:sz w:val="24"/>
          <w:szCs w:val="24"/>
        </w:rPr>
        <w:t>;</w:t>
      </w:r>
      <w:r w:rsidRPr="000652F0">
        <w:rPr>
          <w:rFonts w:ascii="Palatino Linotype" w:hAnsi="Palatino Linotype" w:cs="Arial"/>
          <w:sz w:val="24"/>
          <w:szCs w:val="24"/>
        </w:rPr>
        <w:t xml:space="preserve"> sin embargo, con tal de garantizar el derecho accionado por </w:t>
      </w:r>
      <w:r w:rsidR="006F1617" w:rsidRPr="006F1617">
        <w:rPr>
          <w:rFonts w:ascii="Palatino Linotype" w:hAnsi="Palatino Linotype" w:cs="Arial"/>
          <w:b/>
          <w:sz w:val="24"/>
          <w:szCs w:val="24"/>
        </w:rPr>
        <w:t>EL RECURRENTE</w:t>
      </w:r>
      <w:r w:rsidRPr="000652F0">
        <w:rPr>
          <w:rFonts w:ascii="Palatino Linotype" w:hAnsi="Palatino Linotype" w:cs="Arial"/>
          <w:sz w:val="24"/>
          <w:szCs w:val="24"/>
        </w:rPr>
        <w:t>, la información se pondrá a su disposición en consulta directa sin costo al</w:t>
      </w:r>
      <w:r>
        <w:rPr>
          <w:rFonts w:ascii="Palatino Linotype" w:hAnsi="Palatino Linotype" w:cs="Arial"/>
          <w:sz w:val="24"/>
          <w:szCs w:val="24"/>
        </w:rPr>
        <w:t>guno y</w:t>
      </w:r>
      <w:r w:rsidRPr="000652F0">
        <w:rPr>
          <w:rFonts w:ascii="Palatino Linotype" w:hAnsi="Palatino Linotype" w:cs="Arial"/>
          <w:sz w:val="24"/>
          <w:szCs w:val="24"/>
        </w:rPr>
        <w:t xml:space="preserve"> para recogerla deber</w:t>
      </w:r>
      <w:r w:rsidR="006F1617">
        <w:rPr>
          <w:rFonts w:ascii="Palatino Linotype" w:hAnsi="Palatino Linotype" w:cs="Arial"/>
          <w:sz w:val="24"/>
          <w:szCs w:val="24"/>
        </w:rPr>
        <w:t>ía</w:t>
      </w:r>
      <w:r w:rsidRPr="000652F0">
        <w:rPr>
          <w:rFonts w:ascii="Palatino Linotype" w:hAnsi="Palatino Linotype" w:cs="Arial"/>
          <w:sz w:val="24"/>
          <w:szCs w:val="24"/>
        </w:rPr>
        <w:t xml:space="preserve"> acudir a la dirección indicada.</w:t>
      </w:r>
    </w:p>
    <w:p w:rsidR="000652F0" w:rsidRDefault="00CB7B64" w:rsidP="000B5CFD">
      <w:pPr>
        <w:spacing w:after="0" w:line="360" w:lineRule="auto"/>
        <w:ind w:right="49"/>
        <w:jc w:val="both"/>
        <w:rPr>
          <w:rFonts w:ascii="Palatino Linotype" w:hAnsi="Palatino Linotype"/>
          <w:sz w:val="24"/>
          <w:szCs w:val="24"/>
        </w:rPr>
      </w:pPr>
      <w:r w:rsidRPr="009F71D8">
        <w:rPr>
          <w:rFonts w:ascii="Palatino Linotype" w:hAnsi="Palatino Linotype" w:cs="Arial"/>
          <w:sz w:val="24"/>
          <w:szCs w:val="24"/>
        </w:rPr>
        <w:lastRenderedPageBreak/>
        <w:t>Bajo ese tenor, l</w:t>
      </w:r>
      <w:r w:rsidR="000652F0">
        <w:rPr>
          <w:rFonts w:ascii="Palatino Linotype" w:hAnsi="Palatino Linotype" w:cs="Arial"/>
          <w:sz w:val="24"/>
          <w:szCs w:val="24"/>
        </w:rPr>
        <w:t xml:space="preserve">a Ponencia Resolutora determinó </w:t>
      </w:r>
      <w:r w:rsidR="000652F0">
        <w:rPr>
          <w:rFonts w:ascii="Palatino Linotype" w:hAnsi="Palatino Linotype" w:cs="Arial"/>
          <w:b/>
          <w:sz w:val="24"/>
          <w:szCs w:val="24"/>
        </w:rPr>
        <w:t xml:space="preserve">SOBRESEER </w:t>
      </w:r>
      <w:r w:rsidR="000652F0">
        <w:rPr>
          <w:rFonts w:ascii="Palatino Linotype" w:hAnsi="Palatino Linotype" w:cs="Arial"/>
          <w:sz w:val="24"/>
          <w:szCs w:val="24"/>
        </w:rPr>
        <w:t xml:space="preserve">el recurso de revisión en comento, de conformidad con la fracción III del artículo 192 de la Ley de Transparencia y Acceso a la Información Pública del Estado de México y Municipios, </w:t>
      </w:r>
      <w:r w:rsidR="000652F0" w:rsidRPr="000652F0">
        <w:rPr>
          <w:rFonts w:ascii="Palatino Linotype" w:hAnsi="Palatino Linotype"/>
          <w:sz w:val="24"/>
          <w:szCs w:val="24"/>
        </w:rPr>
        <w:t xml:space="preserve">porque al modificar </w:t>
      </w:r>
      <w:r w:rsidR="000652F0">
        <w:rPr>
          <w:rFonts w:ascii="Palatino Linotype" w:hAnsi="Palatino Linotype"/>
          <w:sz w:val="24"/>
          <w:szCs w:val="24"/>
        </w:rPr>
        <w:t>la</w:t>
      </w:r>
      <w:r w:rsidR="000652F0" w:rsidRPr="000652F0">
        <w:rPr>
          <w:rFonts w:ascii="Palatino Linotype" w:hAnsi="Palatino Linotype"/>
          <w:sz w:val="24"/>
          <w:szCs w:val="24"/>
        </w:rPr>
        <w:t xml:space="preserve"> respuesta el recurso quedó sin materia</w:t>
      </w:r>
      <w:r w:rsidR="000652F0">
        <w:rPr>
          <w:rFonts w:ascii="Palatino Linotype" w:hAnsi="Palatino Linotype"/>
          <w:sz w:val="24"/>
          <w:szCs w:val="24"/>
        </w:rPr>
        <w:t>.</w:t>
      </w:r>
    </w:p>
    <w:p w:rsidR="000B5CFD" w:rsidRPr="000652F0" w:rsidRDefault="000B5CFD" w:rsidP="000B5CFD">
      <w:pPr>
        <w:spacing w:after="0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</w:p>
    <w:p w:rsidR="000F4392" w:rsidRDefault="00CB7B64" w:rsidP="000B5CFD">
      <w:pPr>
        <w:spacing w:after="0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9F71D8">
        <w:rPr>
          <w:rFonts w:ascii="Palatino Linotype" w:hAnsi="Palatino Linotype" w:cs="Arial"/>
          <w:sz w:val="24"/>
          <w:szCs w:val="24"/>
        </w:rPr>
        <w:t xml:space="preserve">En ese sentido, la que suscribe reitera, que si bien coincide en términos generales con </w:t>
      </w:r>
      <w:r w:rsidR="000F4392">
        <w:rPr>
          <w:rFonts w:ascii="Palatino Linotype" w:hAnsi="Palatino Linotype" w:cs="Arial"/>
          <w:sz w:val="24"/>
          <w:szCs w:val="24"/>
        </w:rPr>
        <w:t>las causas que dieron origen al recurso de revisión en comento</w:t>
      </w:r>
      <w:r>
        <w:rPr>
          <w:rFonts w:ascii="Palatino Linotype" w:hAnsi="Palatino Linotype" w:cs="Arial"/>
          <w:sz w:val="24"/>
          <w:szCs w:val="24"/>
        </w:rPr>
        <w:t xml:space="preserve">; </w:t>
      </w:r>
      <w:r w:rsidR="006F1617">
        <w:rPr>
          <w:rFonts w:ascii="Palatino Linotype" w:hAnsi="Palatino Linotype" w:cs="Arial"/>
          <w:sz w:val="24"/>
          <w:szCs w:val="24"/>
        </w:rPr>
        <w:t xml:space="preserve">sin embargo, considero necesario precisar que se debió analizar la </w:t>
      </w:r>
      <w:r w:rsidR="00546959">
        <w:rPr>
          <w:rFonts w:ascii="Palatino Linotype" w:hAnsi="Palatino Linotype" w:cs="Arial"/>
          <w:sz w:val="24"/>
          <w:szCs w:val="24"/>
        </w:rPr>
        <w:t xml:space="preserve">posibilidad de que la información que se </w:t>
      </w:r>
      <w:r w:rsidR="006F1617">
        <w:rPr>
          <w:rFonts w:ascii="Palatino Linotype" w:hAnsi="Palatino Linotype" w:cs="Arial"/>
          <w:sz w:val="24"/>
          <w:szCs w:val="24"/>
        </w:rPr>
        <w:t xml:space="preserve">ponga a disposición </w:t>
      </w:r>
      <w:r w:rsidR="00546959">
        <w:rPr>
          <w:rFonts w:ascii="Palatino Linotype" w:hAnsi="Palatino Linotype" w:cs="Arial"/>
          <w:sz w:val="24"/>
          <w:szCs w:val="24"/>
        </w:rPr>
        <w:t>del particular</w:t>
      </w:r>
      <w:r w:rsidR="006F1617">
        <w:rPr>
          <w:rFonts w:ascii="Palatino Linotype" w:hAnsi="Palatino Linotype" w:cs="Arial"/>
          <w:sz w:val="24"/>
          <w:szCs w:val="24"/>
        </w:rPr>
        <w:t xml:space="preserve"> a través de </w:t>
      </w:r>
      <w:r w:rsidR="00546959">
        <w:rPr>
          <w:rFonts w:ascii="Palatino Linotype" w:hAnsi="Palatino Linotype" w:cs="Arial"/>
          <w:sz w:val="24"/>
          <w:szCs w:val="24"/>
        </w:rPr>
        <w:t xml:space="preserve">consulta directa </w:t>
      </w:r>
      <w:r w:rsidR="006F1617">
        <w:rPr>
          <w:rFonts w:ascii="Palatino Linotype" w:hAnsi="Palatino Linotype" w:cs="Arial"/>
          <w:sz w:val="24"/>
          <w:szCs w:val="24"/>
        </w:rPr>
        <w:t xml:space="preserve">podía ser </w:t>
      </w:r>
      <w:r w:rsidR="00546959">
        <w:rPr>
          <w:rFonts w:ascii="Palatino Linotype" w:hAnsi="Palatino Linotype" w:cs="Arial"/>
          <w:sz w:val="24"/>
          <w:szCs w:val="24"/>
        </w:rPr>
        <w:t xml:space="preserve">en versión pública </w:t>
      </w:r>
      <w:r w:rsidR="000F4392">
        <w:rPr>
          <w:rFonts w:ascii="Palatino Linotype" w:hAnsi="Palatino Linotype" w:cs="Arial"/>
          <w:sz w:val="24"/>
          <w:szCs w:val="24"/>
        </w:rPr>
        <w:t>así como,</w:t>
      </w:r>
      <w:r w:rsidR="006F1617">
        <w:rPr>
          <w:rFonts w:ascii="Palatino Linotype" w:hAnsi="Palatino Linotype" w:cs="Arial"/>
          <w:sz w:val="24"/>
          <w:szCs w:val="24"/>
        </w:rPr>
        <w:t xml:space="preserve"> el precisar en resolutivos </w:t>
      </w:r>
      <w:r w:rsidR="00546959">
        <w:rPr>
          <w:rFonts w:ascii="Palatino Linotype" w:hAnsi="Palatino Linotype" w:cs="Arial"/>
          <w:sz w:val="24"/>
          <w:szCs w:val="24"/>
        </w:rPr>
        <w:t xml:space="preserve">que </w:t>
      </w:r>
      <w:r w:rsidR="00546959">
        <w:rPr>
          <w:rFonts w:ascii="Palatino Linotype" w:hAnsi="Palatino Linotype" w:cs="Arial"/>
          <w:b/>
          <w:sz w:val="24"/>
          <w:szCs w:val="24"/>
        </w:rPr>
        <w:t xml:space="preserve">EL SUJETO OBLIGADO </w:t>
      </w:r>
      <w:r w:rsidR="006F1617">
        <w:rPr>
          <w:rFonts w:ascii="Palatino Linotype" w:hAnsi="Palatino Linotype" w:cs="Arial"/>
          <w:sz w:val="24"/>
          <w:szCs w:val="24"/>
        </w:rPr>
        <w:t>debería de informar</w:t>
      </w:r>
      <w:r w:rsidR="00546959">
        <w:rPr>
          <w:rFonts w:ascii="Palatino Linotype" w:hAnsi="Palatino Linotype" w:cs="Arial"/>
          <w:sz w:val="24"/>
          <w:szCs w:val="24"/>
        </w:rPr>
        <w:t xml:space="preserve"> del cumplimiento dado a la resolución en comento. </w:t>
      </w:r>
    </w:p>
    <w:p w:rsidR="006F1617" w:rsidRPr="00546959" w:rsidRDefault="006F1617" w:rsidP="000B5CFD">
      <w:pPr>
        <w:spacing w:after="0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</w:p>
    <w:p w:rsidR="0095708C" w:rsidRDefault="00CB7B64" w:rsidP="000B5CFD">
      <w:pPr>
        <w:spacing w:after="0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Lo anterior es así, de acuerdo a que si bien es cierto que</w:t>
      </w:r>
      <w:r w:rsidR="000F4392">
        <w:rPr>
          <w:rFonts w:ascii="Palatino Linotype" w:hAnsi="Palatino Linotype" w:cs="Arial"/>
          <w:sz w:val="24"/>
          <w:szCs w:val="24"/>
        </w:rPr>
        <w:t xml:space="preserve"> </w:t>
      </w:r>
      <w:r w:rsidR="000F4392">
        <w:rPr>
          <w:rFonts w:ascii="Palatino Linotype" w:hAnsi="Palatino Linotype" w:cs="Arial"/>
          <w:b/>
          <w:sz w:val="24"/>
          <w:szCs w:val="24"/>
        </w:rPr>
        <w:t xml:space="preserve">EL SUJETO OBLIGADO </w:t>
      </w:r>
      <w:r w:rsidR="000F4392">
        <w:rPr>
          <w:rFonts w:ascii="Palatino Linotype" w:hAnsi="Palatino Linotype" w:cs="Arial"/>
          <w:sz w:val="24"/>
          <w:szCs w:val="24"/>
        </w:rPr>
        <w:t xml:space="preserve">mediante alcance al Informe Justificado refirió que la información referente a las obligaciones de transparencia denominadas comunes se encontraban en la página de IPOMEX y que debido a su volumen no podrían ser enviadas a través del SAIMEX, también lo es que, </w:t>
      </w:r>
      <w:r w:rsidR="00546959">
        <w:rPr>
          <w:rFonts w:ascii="Palatino Linotype" w:hAnsi="Palatino Linotype" w:cs="Arial"/>
          <w:sz w:val="24"/>
          <w:szCs w:val="24"/>
        </w:rPr>
        <w:t>del análisis realizado por la Ponencia Resolutora se determinó la consulta directa; sin embarg</w:t>
      </w:r>
      <w:r w:rsidR="006F1617">
        <w:rPr>
          <w:rFonts w:ascii="Palatino Linotype" w:hAnsi="Palatino Linotype" w:cs="Arial"/>
          <w:sz w:val="24"/>
          <w:szCs w:val="24"/>
        </w:rPr>
        <w:t>o, se omitió precisar que del cú</w:t>
      </w:r>
      <w:r w:rsidR="00546959">
        <w:rPr>
          <w:rFonts w:ascii="Palatino Linotype" w:hAnsi="Palatino Linotype" w:cs="Arial"/>
          <w:sz w:val="24"/>
          <w:szCs w:val="24"/>
        </w:rPr>
        <w:t>mulo de información que se encuentra contenida en el portal de IPOMEX, algunos documentos pueden contener datos personales ya sea de particulares o de servidores públicos que de hacerse públicos afectarían la integ</w:t>
      </w:r>
      <w:r w:rsidR="006F1617">
        <w:rPr>
          <w:rFonts w:ascii="Palatino Linotype" w:hAnsi="Palatino Linotype" w:cs="Arial"/>
          <w:sz w:val="24"/>
          <w:szCs w:val="24"/>
        </w:rPr>
        <w:t>ridad y vida privada de é</w:t>
      </w:r>
      <w:r w:rsidR="00546959">
        <w:rPr>
          <w:rFonts w:ascii="Palatino Linotype" w:hAnsi="Palatino Linotype" w:cs="Arial"/>
          <w:sz w:val="24"/>
          <w:szCs w:val="24"/>
        </w:rPr>
        <w:t>stos; por lo que, considero que en dicho proyecto de debi</w:t>
      </w:r>
      <w:r w:rsidR="0095708C">
        <w:rPr>
          <w:rFonts w:ascii="Palatino Linotype" w:hAnsi="Palatino Linotype" w:cs="Arial"/>
          <w:sz w:val="24"/>
          <w:szCs w:val="24"/>
        </w:rPr>
        <w:t>ó establecer que se haría del conocimiento la versión pública de la información que resultara procedente.</w:t>
      </w:r>
    </w:p>
    <w:p w:rsidR="0095708C" w:rsidRDefault="0095708C" w:rsidP="000B5CFD">
      <w:pPr>
        <w:spacing w:after="0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lastRenderedPageBreak/>
        <w:t xml:space="preserve">Así, aun cuando la Ponencia Resolutora está considerando viable el cambio de modalidad </w:t>
      </w:r>
      <w:r w:rsidR="006F1617">
        <w:rPr>
          <w:rFonts w:ascii="Palatino Linotype" w:hAnsi="Palatino Linotype" w:cs="Arial"/>
          <w:sz w:val="24"/>
          <w:szCs w:val="24"/>
        </w:rPr>
        <w:t xml:space="preserve">a consulta </w:t>
      </w:r>
      <w:r>
        <w:rPr>
          <w:rFonts w:ascii="Palatino Linotype" w:hAnsi="Palatino Linotype" w:cs="Arial"/>
          <w:sz w:val="24"/>
          <w:szCs w:val="24"/>
        </w:rPr>
        <w:t xml:space="preserve">de la información, razón por la que, a su decir se actualiza la causal de sobreseimiento antes referida, lo cierto es que, no se precisa dentro del estudio o en resolutivos que </w:t>
      </w:r>
      <w:r>
        <w:rPr>
          <w:rFonts w:ascii="Palatino Linotype" w:hAnsi="Palatino Linotype" w:cs="Arial"/>
          <w:b/>
          <w:sz w:val="24"/>
          <w:szCs w:val="24"/>
        </w:rPr>
        <w:t xml:space="preserve">EL SUJETO OBLIGADO </w:t>
      </w:r>
      <w:r>
        <w:rPr>
          <w:rFonts w:ascii="Palatino Linotype" w:hAnsi="Palatino Linotype" w:cs="Arial"/>
          <w:sz w:val="24"/>
          <w:szCs w:val="24"/>
        </w:rPr>
        <w:t>una vez notificada la resolución deberá informar a este Instituto el cumplimiento dado a la misma, tal como lo prevén los artículos 186, último párrafo y 189 párrafo segundo de la Ley de Transparencia y Acceso a la Información Pública del Estado de México y Municipios, que la letra rezan:</w:t>
      </w:r>
    </w:p>
    <w:p w:rsidR="000B5CFD" w:rsidRDefault="000B5CFD" w:rsidP="000B5CFD">
      <w:pPr>
        <w:spacing w:after="0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</w:p>
    <w:p w:rsidR="0095708C" w:rsidRPr="000B5CFD" w:rsidRDefault="000B5CFD" w:rsidP="000B5CFD">
      <w:pPr>
        <w:spacing w:after="0" w:line="240" w:lineRule="auto"/>
        <w:ind w:left="851" w:right="899"/>
        <w:jc w:val="both"/>
        <w:rPr>
          <w:rFonts w:ascii="Palatino Linotype" w:hAnsi="Palatino Linotype" w:cs="Arial"/>
          <w:b/>
          <w:i/>
          <w:sz w:val="24"/>
          <w:szCs w:val="24"/>
        </w:rPr>
      </w:pPr>
      <w:r>
        <w:rPr>
          <w:rFonts w:ascii="Palatino Linotype" w:hAnsi="Palatino Linotype"/>
          <w:b/>
          <w:i/>
        </w:rPr>
        <w:t>“</w:t>
      </w:r>
      <w:r w:rsidR="0095708C" w:rsidRPr="000B5CFD">
        <w:rPr>
          <w:rFonts w:ascii="Palatino Linotype" w:hAnsi="Palatino Linotype"/>
          <w:b/>
          <w:i/>
        </w:rPr>
        <w:t>Artículo 186.</w:t>
      </w:r>
      <w:r w:rsidR="0095708C" w:rsidRPr="000B5CFD">
        <w:rPr>
          <w:rFonts w:ascii="Palatino Linotype" w:hAnsi="Palatino Linotype"/>
          <w:i/>
        </w:rPr>
        <w:t xml:space="preserve"> </w:t>
      </w:r>
      <w:r w:rsidR="0095708C" w:rsidRPr="000B5CFD">
        <w:rPr>
          <w:rFonts w:ascii="Palatino Linotype" w:hAnsi="Palatino Linotype"/>
          <w:b/>
          <w:i/>
        </w:rPr>
        <w:t>Las resoluciones del Instituto podrán:</w:t>
      </w:r>
    </w:p>
    <w:p w:rsidR="000B5CFD" w:rsidRDefault="000B5CFD" w:rsidP="000B5CFD">
      <w:pPr>
        <w:spacing w:after="0" w:line="240" w:lineRule="auto"/>
        <w:ind w:left="851" w:right="899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…</w:t>
      </w:r>
    </w:p>
    <w:p w:rsidR="0095708C" w:rsidRDefault="000B5CFD" w:rsidP="000B5CFD">
      <w:pPr>
        <w:spacing w:after="0" w:line="240" w:lineRule="auto"/>
        <w:ind w:left="851" w:right="899"/>
        <w:jc w:val="both"/>
        <w:rPr>
          <w:rFonts w:ascii="Palatino Linotype" w:hAnsi="Palatino Linotype"/>
          <w:i/>
        </w:rPr>
      </w:pPr>
      <w:r w:rsidRPr="000B5CFD">
        <w:rPr>
          <w:rFonts w:ascii="Palatino Linotype" w:hAnsi="Palatino Linotype"/>
          <w:b/>
          <w:i/>
        </w:rPr>
        <w:t>Las resoluciones establecerán, en su caso, los plazos y términos para su cumplimiento</w:t>
      </w:r>
      <w:r w:rsidRPr="000B5CFD">
        <w:rPr>
          <w:rFonts w:ascii="Palatino Linotype" w:hAnsi="Palatino Linotype"/>
          <w:i/>
        </w:rPr>
        <w:t xml:space="preserve"> y los procedimientos para asegurar su ejecución, </w:t>
      </w:r>
      <w:r w:rsidRPr="000B5CFD">
        <w:rPr>
          <w:rFonts w:ascii="Palatino Linotype" w:hAnsi="Palatino Linotype"/>
          <w:b/>
          <w:i/>
        </w:rPr>
        <w:t>los cuales no podrán exceder de diez días hábiles para la entrega de información.</w:t>
      </w:r>
      <w:r w:rsidRPr="000B5CFD">
        <w:rPr>
          <w:rFonts w:ascii="Palatino Linotype" w:hAnsi="Palatino Linotype"/>
          <w:i/>
        </w:rPr>
        <w:t xml:space="preserve"> Excepcionalmente el Instituto, previa fundamentación y motivación, podrán ampliar estos plazos cuando el asunto así lo requiera.</w:t>
      </w:r>
    </w:p>
    <w:p w:rsidR="000B5CFD" w:rsidRPr="000B5CFD" w:rsidRDefault="000B5CFD" w:rsidP="000B5CFD">
      <w:pPr>
        <w:spacing w:after="0" w:line="240" w:lineRule="auto"/>
        <w:ind w:left="851" w:right="899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…</w:t>
      </w:r>
    </w:p>
    <w:p w:rsidR="000B5CFD" w:rsidRDefault="000B5CFD" w:rsidP="000B5CFD">
      <w:pPr>
        <w:spacing w:after="0" w:line="240" w:lineRule="auto"/>
        <w:ind w:left="851" w:right="899"/>
        <w:jc w:val="both"/>
        <w:rPr>
          <w:rFonts w:ascii="Palatino Linotype" w:hAnsi="Palatino Linotype"/>
          <w:i/>
        </w:rPr>
      </w:pPr>
      <w:r w:rsidRPr="000B5CFD">
        <w:rPr>
          <w:rFonts w:ascii="Palatino Linotype" w:hAnsi="Palatino Linotype"/>
          <w:b/>
          <w:i/>
        </w:rPr>
        <w:t>Artículo 189.</w:t>
      </w:r>
      <w:r w:rsidRPr="000B5CFD">
        <w:rPr>
          <w:rFonts w:ascii="Palatino Linotype" w:hAnsi="Palatino Linotype"/>
          <w:i/>
        </w:rPr>
        <w:t xml:space="preserve"> El Instituto deberá notificar a las partes y publicar las resoluciones, a más tardar, el tercer día hábil siguiente de su aprobación.</w:t>
      </w:r>
    </w:p>
    <w:p w:rsidR="000B5CFD" w:rsidRPr="000B5CFD" w:rsidRDefault="000B5CFD" w:rsidP="000B5CFD">
      <w:pPr>
        <w:spacing w:after="0" w:line="240" w:lineRule="auto"/>
        <w:ind w:left="851" w:right="899"/>
        <w:jc w:val="both"/>
        <w:rPr>
          <w:rFonts w:ascii="Palatino Linotype" w:hAnsi="Palatino Linotype"/>
          <w:i/>
        </w:rPr>
      </w:pPr>
    </w:p>
    <w:p w:rsidR="000B5CFD" w:rsidRDefault="000B5CFD" w:rsidP="000B5CFD">
      <w:pPr>
        <w:spacing w:after="0" w:line="240" w:lineRule="auto"/>
        <w:ind w:left="851" w:right="899"/>
        <w:jc w:val="both"/>
        <w:rPr>
          <w:rFonts w:ascii="Palatino Linotype" w:hAnsi="Palatino Linotype"/>
          <w:b/>
          <w:i/>
        </w:rPr>
      </w:pPr>
      <w:r w:rsidRPr="000B5CFD">
        <w:rPr>
          <w:rFonts w:ascii="Palatino Linotype" w:hAnsi="Palatino Linotype"/>
          <w:b/>
          <w:i/>
        </w:rPr>
        <w:t>Los sujetos obligados deberán informar al Instituto el cumplimiento de sus resoluciones en un plazo no mayor a tres días hábiles</w:t>
      </w:r>
      <w:r>
        <w:rPr>
          <w:rFonts w:ascii="Palatino Linotype" w:hAnsi="Palatino Linotype"/>
          <w:b/>
          <w:i/>
        </w:rPr>
        <w:t>.”</w:t>
      </w:r>
    </w:p>
    <w:p w:rsidR="000B5CFD" w:rsidRPr="000B5CFD" w:rsidRDefault="000B5CFD" w:rsidP="000B5CFD">
      <w:pPr>
        <w:spacing w:after="0" w:line="240" w:lineRule="auto"/>
        <w:ind w:left="851" w:right="899"/>
        <w:jc w:val="both"/>
        <w:rPr>
          <w:rFonts w:ascii="Palatino Linotype" w:hAnsi="Palatino Linotype" w:cs="Arial"/>
          <w:i/>
          <w:sz w:val="24"/>
          <w:szCs w:val="24"/>
        </w:rPr>
      </w:pPr>
      <w:r>
        <w:rPr>
          <w:rFonts w:ascii="Palatino Linotype" w:hAnsi="Palatino Linotype"/>
          <w:i/>
        </w:rPr>
        <w:t>(Énfasis añadido)</w:t>
      </w:r>
    </w:p>
    <w:p w:rsidR="000B5CFD" w:rsidRDefault="000B5CFD" w:rsidP="000B5CFD">
      <w:pPr>
        <w:spacing w:after="0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</w:p>
    <w:p w:rsidR="000B5CFD" w:rsidRPr="000B5CFD" w:rsidRDefault="00CB7B64" w:rsidP="000B5CFD">
      <w:pPr>
        <w:spacing w:after="0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9F71D8">
        <w:rPr>
          <w:rFonts w:ascii="Palatino Linotype" w:hAnsi="Palatino Linotype" w:cs="Arial"/>
          <w:sz w:val="24"/>
          <w:szCs w:val="24"/>
        </w:rPr>
        <w:t>Es por lo anteriormente expuesto que</w:t>
      </w:r>
      <w:r>
        <w:rPr>
          <w:rFonts w:ascii="Palatino Linotype" w:hAnsi="Palatino Linotype" w:cs="Arial"/>
          <w:sz w:val="24"/>
          <w:szCs w:val="24"/>
        </w:rPr>
        <w:t xml:space="preserve">, la </w:t>
      </w:r>
      <w:r w:rsidRPr="009F71D8">
        <w:rPr>
          <w:rFonts w:ascii="Palatino Linotype" w:hAnsi="Palatino Linotype" w:cs="Arial"/>
          <w:sz w:val="24"/>
          <w:szCs w:val="24"/>
        </w:rPr>
        <w:t>suscri</w:t>
      </w:r>
      <w:r w:rsidR="000B5CFD">
        <w:rPr>
          <w:rFonts w:ascii="Palatino Linotype" w:hAnsi="Palatino Linotype" w:cs="Arial"/>
          <w:sz w:val="24"/>
          <w:szCs w:val="24"/>
        </w:rPr>
        <w:t>ta</w:t>
      </w:r>
      <w:r w:rsidRPr="009F71D8">
        <w:rPr>
          <w:rFonts w:ascii="Palatino Linotype" w:hAnsi="Palatino Linotype" w:cs="Arial"/>
          <w:sz w:val="24"/>
          <w:szCs w:val="24"/>
        </w:rPr>
        <w:t xml:space="preserve"> emite </w:t>
      </w:r>
      <w:r w:rsidRPr="009F71D8">
        <w:rPr>
          <w:rFonts w:ascii="Palatino Linotype" w:hAnsi="Palatino Linotype" w:cs="Arial"/>
          <w:b/>
          <w:sz w:val="24"/>
          <w:szCs w:val="24"/>
        </w:rPr>
        <w:t>VOTO PARTICULAR</w:t>
      </w:r>
      <w:r w:rsidRPr="009F71D8">
        <w:rPr>
          <w:rFonts w:ascii="Palatino Linotype" w:hAnsi="Palatino Linotype" w:cs="Arial"/>
          <w:sz w:val="24"/>
          <w:szCs w:val="24"/>
        </w:rPr>
        <w:t xml:space="preserve"> pues se</w:t>
      </w:r>
      <w:r>
        <w:rPr>
          <w:rFonts w:ascii="Palatino Linotype" w:hAnsi="Palatino Linotype" w:cs="Arial"/>
          <w:sz w:val="24"/>
          <w:szCs w:val="24"/>
        </w:rPr>
        <w:t xml:space="preserve"> insiste que lo procedente era que la Ponencia Resolutora </w:t>
      </w:r>
      <w:r w:rsidR="00A768C2">
        <w:rPr>
          <w:rFonts w:ascii="Palatino Linotype" w:hAnsi="Palatino Linotype" w:cs="Arial"/>
          <w:b/>
          <w:sz w:val="24"/>
          <w:szCs w:val="24"/>
        </w:rPr>
        <w:t>modifi</w:t>
      </w:r>
      <w:r w:rsidR="000B5CFD">
        <w:rPr>
          <w:rFonts w:ascii="Palatino Linotype" w:hAnsi="Palatino Linotype" w:cs="Arial"/>
          <w:b/>
          <w:sz w:val="24"/>
          <w:szCs w:val="24"/>
        </w:rPr>
        <w:t xml:space="preserve">cara </w:t>
      </w:r>
      <w:r w:rsidR="000B5CFD">
        <w:rPr>
          <w:rFonts w:ascii="Palatino Linotype" w:hAnsi="Palatino Linotype" w:cs="Arial"/>
          <w:sz w:val="24"/>
          <w:szCs w:val="24"/>
        </w:rPr>
        <w:t xml:space="preserve">la respuesta del </w:t>
      </w:r>
      <w:r w:rsidR="000B5CFD">
        <w:rPr>
          <w:rFonts w:ascii="Palatino Linotype" w:hAnsi="Palatino Linotype" w:cs="Arial"/>
          <w:b/>
          <w:sz w:val="24"/>
          <w:szCs w:val="24"/>
        </w:rPr>
        <w:t xml:space="preserve">SUJETO OBLIGADO </w:t>
      </w:r>
      <w:r w:rsidR="000B5CFD">
        <w:rPr>
          <w:rFonts w:ascii="Palatino Linotype" w:hAnsi="Palatino Linotype" w:cs="Arial"/>
          <w:sz w:val="24"/>
          <w:szCs w:val="24"/>
        </w:rPr>
        <w:t>y p</w:t>
      </w:r>
      <w:r>
        <w:rPr>
          <w:rFonts w:ascii="Palatino Linotype" w:hAnsi="Palatino Linotype" w:cs="Arial"/>
          <w:sz w:val="24"/>
          <w:szCs w:val="24"/>
        </w:rPr>
        <w:t xml:space="preserve">recisara tanto en estudio como en </w:t>
      </w:r>
      <w:r w:rsidR="000B5CFD">
        <w:rPr>
          <w:rFonts w:ascii="Palatino Linotype" w:hAnsi="Palatino Linotype" w:cs="Arial"/>
          <w:sz w:val="24"/>
          <w:szCs w:val="24"/>
        </w:rPr>
        <w:t xml:space="preserve">los </w:t>
      </w:r>
      <w:r>
        <w:rPr>
          <w:rFonts w:ascii="Palatino Linotype" w:hAnsi="Palatino Linotype" w:cs="Arial"/>
          <w:sz w:val="24"/>
          <w:szCs w:val="24"/>
        </w:rPr>
        <w:t xml:space="preserve">resolutivos </w:t>
      </w:r>
      <w:r w:rsidR="000B5CFD">
        <w:rPr>
          <w:rFonts w:ascii="Palatino Linotype" w:hAnsi="Palatino Linotype" w:cs="Arial"/>
          <w:sz w:val="24"/>
          <w:szCs w:val="24"/>
        </w:rPr>
        <w:t xml:space="preserve">de la resolución </w:t>
      </w:r>
      <w:r>
        <w:rPr>
          <w:rFonts w:ascii="Palatino Linotype" w:hAnsi="Palatino Linotype" w:cs="Arial"/>
          <w:sz w:val="24"/>
          <w:szCs w:val="24"/>
        </w:rPr>
        <w:t xml:space="preserve">que </w:t>
      </w:r>
      <w:r w:rsidR="000B5CFD">
        <w:rPr>
          <w:rFonts w:ascii="Palatino Linotype" w:hAnsi="Palatino Linotype" w:cs="Arial"/>
          <w:sz w:val="24"/>
          <w:szCs w:val="24"/>
        </w:rPr>
        <w:t xml:space="preserve">debería hacer entrega de la información solicitada vía consulta directa en versión pública de ser procedente y los términos a través de los cuales debería </w:t>
      </w:r>
      <w:r w:rsidR="000B5CFD">
        <w:rPr>
          <w:rFonts w:ascii="Palatino Linotype" w:hAnsi="Palatino Linotype" w:cs="Arial"/>
          <w:sz w:val="24"/>
          <w:szCs w:val="24"/>
        </w:rPr>
        <w:lastRenderedPageBreak/>
        <w:t xml:space="preserve">informar a este Instituto del </w:t>
      </w:r>
      <w:r w:rsidR="00A768C2">
        <w:rPr>
          <w:rFonts w:ascii="Palatino Linotype" w:hAnsi="Palatino Linotype" w:cs="Arial"/>
          <w:sz w:val="24"/>
          <w:szCs w:val="24"/>
        </w:rPr>
        <w:t>cumplimiento dado a la misma;</w:t>
      </w:r>
      <w:r w:rsidR="000B5CFD">
        <w:rPr>
          <w:rFonts w:ascii="Palatino Linotype" w:hAnsi="Palatino Linotype" w:cs="Arial"/>
          <w:sz w:val="24"/>
          <w:szCs w:val="24"/>
        </w:rPr>
        <w:t xml:space="preserve"> lo anterior</w:t>
      </w:r>
      <w:r w:rsidR="00A768C2">
        <w:rPr>
          <w:rFonts w:ascii="Palatino Linotype" w:hAnsi="Palatino Linotype" w:cs="Arial"/>
          <w:sz w:val="24"/>
          <w:szCs w:val="24"/>
        </w:rPr>
        <w:t>,</w:t>
      </w:r>
      <w:r w:rsidR="000B5CFD">
        <w:rPr>
          <w:rFonts w:ascii="Palatino Linotype" w:hAnsi="Palatino Linotype" w:cs="Arial"/>
          <w:sz w:val="24"/>
          <w:szCs w:val="24"/>
        </w:rPr>
        <w:t xml:space="preserve"> a fin de dar cumplimiento a los principios establecidos en el artículo 9 de la Ley de la materia.</w:t>
      </w:r>
    </w:p>
    <w:p w:rsidR="000B5CFD" w:rsidRDefault="000B5CFD" w:rsidP="000B5CFD">
      <w:pPr>
        <w:spacing w:after="0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</w:p>
    <w:p w:rsidR="00CB7B64" w:rsidRDefault="00CB7B64" w:rsidP="000B5CFD">
      <w:pPr>
        <w:spacing w:after="0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</w:p>
    <w:p w:rsidR="00671457" w:rsidRDefault="00671457" w:rsidP="000B5CFD">
      <w:pPr>
        <w:spacing w:after="0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</w:p>
    <w:p w:rsidR="00671457" w:rsidRDefault="00671457" w:rsidP="000B5CFD">
      <w:pPr>
        <w:spacing w:after="0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</w:p>
    <w:p w:rsidR="00671457" w:rsidRDefault="00671457" w:rsidP="000B5CFD">
      <w:pPr>
        <w:spacing w:after="0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</w:p>
    <w:p w:rsidR="00671457" w:rsidRDefault="00671457" w:rsidP="000B5CFD">
      <w:pPr>
        <w:spacing w:after="0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</w:p>
    <w:p w:rsidR="000B5CFD" w:rsidRDefault="000B5CFD" w:rsidP="000B5CFD">
      <w:pPr>
        <w:spacing w:after="0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</w:p>
    <w:p w:rsidR="00671457" w:rsidRDefault="00671457" w:rsidP="000B5CFD">
      <w:pPr>
        <w:spacing w:after="0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</w:p>
    <w:p w:rsidR="000B5CFD" w:rsidRPr="002601BD" w:rsidRDefault="000B5CFD" w:rsidP="000B5CFD">
      <w:pPr>
        <w:spacing w:after="0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CB7B64" w:rsidRPr="009F71D8" w:rsidTr="009C341F">
        <w:trPr>
          <w:jc w:val="center"/>
        </w:trPr>
        <w:tc>
          <w:tcPr>
            <w:tcW w:w="4393" w:type="dxa"/>
          </w:tcPr>
          <w:p w:rsidR="00CB7B64" w:rsidRPr="009F71D8" w:rsidRDefault="00CB7B64" w:rsidP="000B5CFD">
            <w:pPr>
              <w:spacing w:after="0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F71D8">
              <w:rPr>
                <w:rFonts w:ascii="Palatino Linotype" w:hAnsi="Palatino Linotype"/>
                <w:b/>
                <w:sz w:val="24"/>
                <w:szCs w:val="24"/>
              </w:rPr>
              <w:t>EVA ABAID YAPUR</w:t>
            </w:r>
          </w:p>
          <w:p w:rsidR="00CB7B64" w:rsidRDefault="00CB7B64" w:rsidP="00671457">
            <w:pPr>
              <w:spacing w:after="0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F71D8">
              <w:rPr>
                <w:rFonts w:ascii="Palatino Linotype" w:hAnsi="Palatino Linotype"/>
                <w:b/>
                <w:sz w:val="24"/>
                <w:szCs w:val="24"/>
              </w:rPr>
              <w:t>COMISIONADA</w:t>
            </w:r>
          </w:p>
          <w:p w:rsidR="00BE1DFD" w:rsidRPr="009F71D8" w:rsidRDefault="00BE1DFD" w:rsidP="00671457">
            <w:pPr>
              <w:spacing w:after="0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(RÚBRICA)</w:t>
            </w:r>
            <w:bookmarkStart w:id="0" w:name="_GoBack"/>
            <w:bookmarkEnd w:id="0"/>
          </w:p>
        </w:tc>
      </w:tr>
    </w:tbl>
    <w:p w:rsidR="00CB7B64" w:rsidRDefault="00CB7B64" w:rsidP="000B5CFD">
      <w:pPr>
        <w:widowControl w:val="0"/>
        <w:spacing w:after="0"/>
        <w:ind w:right="49"/>
        <w:jc w:val="both"/>
        <w:rPr>
          <w:rFonts w:ascii="Palatino Linotype" w:eastAsia="Calibri" w:hAnsi="Palatino Linotype" w:cs="Arial"/>
          <w:color w:val="000000" w:themeColor="text1"/>
          <w:sz w:val="24"/>
          <w:szCs w:val="24"/>
        </w:rPr>
      </w:pPr>
    </w:p>
    <w:p w:rsidR="00CB7B64" w:rsidRDefault="00CB7B64" w:rsidP="000B5CFD">
      <w:pPr>
        <w:widowControl w:val="0"/>
        <w:spacing w:after="0"/>
        <w:ind w:right="49"/>
        <w:jc w:val="both"/>
        <w:rPr>
          <w:rFonts w:ascii="Palatino Linotype" w:eastAsia="Calibri" w:hAnsi="Palatino Linotype" w:cs="Arial"/>
          <w:color w:val="000000" w:themeColor="text1"/>
          <w:sz w:val="24"/>
          <w:szCs w:val="24"/>
        </w:rPr>
      </w:pPr>
    </w:p>
    <w:p w:rsidR="000B5CFD" w:rsidRDefault="000B5CFD" w:rsidP="000B5CFD">
      <w:pPr>
        <w:widowControl w:val="0"/>
        <w:spacing w:after="0"/>
        <w:ind w:right="49"/>
        <w:jc w:val="both"/>
        <w:rPr>
          <w:rFonts w:ascii="Palatino Linotype" w:eastAsia="Calibri" w:hAnsi="Palatino Linotype" w:cs="Arial"/>
          <w:color w:val="000000" w:themeColor="text1"/>
          <w:sz w:val="24"/>
          <w:szCs w:val="24"/>
        </w:rPr>
      </w:pPr>
    </w:p>
    <w:p w:rsidR="000B5CFD" w:rsidRDefault="000B5CFD" w:rsidP="000B5CFD">
      <w:pPr>
        <w:widowControl w:val="0"/>
        <w:spacing w:after="0"/>
        <w:ind w:right="49"/>
        <w:jc w:val="both"/>
        <w:rPr>
          <w:rFonts w:ascii="Palatino Linotype" w:eastAsia="Calibri" w:hAnsi="Palatino Linotype" w:cs="Arial"/>
          <w:color w:val="000000" w:themeColor="text1"/>
          <w:sz w:val="24"/>
          <w:szCs w:val="24"/>
        </w:rPr>
      </w:pPr>
    </w:p>
    <w:p w:rsidR="000B5CFD" w:rsidRDefault="000B5CFD" w:rsidP="000B5CFD">
      <w:pPr>
        <w:widowControl w:val="0"/>
        <w:spacing w:after="0"/>
        <w:ind w:right="49"/>
        <w:jc w:val="both"/>
        <w:rPr>
          <w:rFonts w:ascii="Palatino Linotype" w:eastAsia="Calibri" w:hAnsi="Palatino Linotype" w:cs="Arial"/>
          <w:color w:val="000000" w:themeColor="text1"/>
          <w:sz w:val="24"/>
          <w:szCs w:val="24"/>
        </w:rPr>
      </w:pPr>
    </w:p>
    <w:p w:rsidR="000B5CFD" w:rsidRDefault="000B5CFD" w:rsidP="000B5CFD">
      <w:pPr>
        <w:widowControl w:val="0"/>
        <w:spacing w:after="0"/>
        <w:ind w:right="49"/>
        <w:jc w:val="both"/>
        <w:rPr>
          <w:rFonts w:ascii="Palatino Linotype" w:eastAsia="Calibri" w:hAnsi="Palatino Linotype" w:cs="Arial"/>
          <w:color w:val="000000" w:themeColor="text1"/>
          <w:sz w:val="24"/>
          <w:szCs w:val="24"/>
        </w:rPr>
      </w:pPr>
    </w:p>
    <w:p w:rsidR="000B5CFD" w:rsidRPr="009F71D8" w:rsidRDefault="000B5CFD" w:rsidP="000B5CFD">
      <w:pPr>
        <w:widowControl w:val="0"/>
        <w:spacing w:after="0"/>
        <w:ind w:right="49"/>
        <w:jc w:val="both"/>
        <w:rPr>
          <w:rFonts w:ascii="Palatino Linotype" w:eastAsia="Calibri" w:hAnsi="Palatino Linotype" w:cs="Arial"/>
          <w:color w:val="000000" w:themeColor="text1"/>
          <w:sz w:val="24"/>
          <w:szCs w:val="24"/>
        </w:rPr>
      </w:pPr>
    </w:p>
    <w:p w:rsidR="00CB7B64" w:rsidRPr="002D79AC" w:rsidRDefault="00CB7B64" w:rsidP="000B5CFD">
      <w:pPr>
        <w:widowControl w:val="0"/>
        <w:spacing w:after="0" w:line="240" w:lineRule="auto"/>
        <w:ind w:right="51"/>
        <w:jc w:val="both"/>
        <w:rPr>
          <w:rFonts w:ascii="Palatino Linotype" w:hAnsi="Palatino Linotype" w:cs="Arial"/>
          <w:sz w:val="20"/>
          <w:szCs w:val="20"/>
        </w:rPr>
      </w:pPr>
      <w:r w:rsidRPr="002D79AC">
        <w:rPr>
          <w:rFonts w:ascii="Palatino Linotype" w:eastAsia="Calibri" w:hAnsi="Palatino Linotype" w:cs="Arial"/>
          <w:color w:val="000000" w:themeColor="text1"/>
          <w:sz w:val="20"/>
          <w:szCs w:val="20"/>
        </w:rPr>
        <w:t>Esta hoja corresponde al voto particular emitido en</w:t>
      </w:r>
      <w:r w:rsidR="00671457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la resolución d</w:t>
      </w:r>
      <w:r w:rsidRPr="002D79A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el recurso de revisión </w:t>
      </w:r>
      <w:r w:rsidR="000B5CFD">
        <w:rPr>
          <w:rFonts w:ascii="Palatino Linotype" w:hAnsi="Palatino Linotype" w:cs="Arial"/>
          <w:bCs/>
          <w:sz w:val="20"/>
          <w:szCs w:val="20"/>
        </w:rPr>
        <w:t>04030</w:t>
      </w:r>
      <w:r w:rsidRPr="002D79AC">
        <w:rPr>
          <w:rFonts w:ascii="Palatino Linotype" w:hAnsi="Palatino Linotype" w:cs="Arial"/>
          <w:bCs/>
          <w:sz w:val="20"/>
          <w:szCs w:val="20"/>
        </w:rPr>
        <w:t>/INFOEM/IP/RR/201</w:t>
      </w:r>
      <w:r>
        <w:rPr>
          <w:rFonts w:ascii="Palatino Linotype" w:hAnsi="Palatino Linotype" w:cs="Arial"/>
          <w:bCs/>
          <w:sz w:val="20"/>
          <w:szCs w:val="20"/>
        </w:rPr>
        <w:t>8</w:t>
      </w:r>
      <w:r w:rsidRPr="002D79AC">
        <w:rPr>
          <w:rFonts w:ascii="Palatino Linotype" w:hAnsi="Palatino Linotype" w:cs="Arial"/>
          <w:bCs/>
          <w:sz w:val="20"/>
          <w:szCs w:val="20"/>
        </w:rPr>
        <w:t>,</w:t>
      </w:r>
      <w:r w:rsidRPr="002D79AC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r w:rsidRPr="002D79AC">
        <w:rPr>
          <w:rFonts w:ascii="Palatino Linotype" w:hAnsi="Palatino Linotype" w:cs="Arial"/>
          <w:bCs/>
          <w:sz w:val="20"/>
          <w:szCs w:val="20"/>
        </w:rPr>
        <w:t xml:space="preserve">aprobado el </w:t>
      </w:r>
      <w:r w:rsidR="000B5CFD">
        <w:rPr>
          <w:rFonts w:ascii="Palatino Linotype" w:hAnsi="Palatino Linotype" w:cs="Arial"/>
          <w:bCs/>
          <w:sz w:val="20"/>
          <w:szCs w:val="20"/>
        </w:rPr>
        <w:t xml:space="preserve">doce de diciembre </w:t>
      </w:r>
      <w:r>
        <w:rPr>
          <w:rFonts w:ascii="Palatino Linotype" w:hAnsi="Palatino Linotype" w:cs="Arial"/>
          <w:bCs/>
          <w:sz w:val="20"/>
          <w:szCs w:val="20"/>
        </w:rPr>
        <w:t>de dos mil dieciocho</w:t>
      </w:r>
      <w:r w:rsidRPr="002D79AC">
        <w:rPr>
          <w:rFonts w:ascii="Palatino Linotype" w:hAnsi="Palatino Linotype" w:cs="Arial"/>
          <w:bCs/>
          <w:sz w:val="20"/>
          <w:szCs w:val="20"/>
        </w:rPr>
        <w:t>.</w:t>
      </w:r>
    </w:p>
    <w:p w:rsidR="00CB7B64" w:rsidRPr="00263C9A" w:rsidRDefault="00CB7B64" w:rsidP="000B5CFD">
      <w:pPr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0"/>
          <w:szCs w:val="10"/>
        </w:rPr>
      </w:pPr>
    </w:p>
    <w:p w:rsidR="00CB7B64" w:rsidRPr="002D79AC" w:rsidRDefault="00CB7B64" w:rsidP="000B5CFD">
      <w:pPr>
        <w:spacing w:after="0" w:line="240" w:lineRule="auto"/>
        <w:ind w:right="51"/>
        <w:jc w:val="both"/>
        <w:rPr>
          <w:sz w:val="20"/>
          <w:szCs w:val="20"/>
        </w:rPr>
      </w:pPr>
      <w:r w:rsidRPr="002D79AC"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YSM/AMV</w:t>
      </w:r>
    </w:p>
    <w:sectPr w:rsidR="00CB7B64" w:rsidRPr="002D79AC" w:rsidSect="005A28C0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5A8" w:rsidRDefault="003A25A8" w:rsidP="00CB7B64">
      <w:pPr>
        <w:spacing w:after="0" w:line="240" w:lineRule="auto"/>
      </w:pPr>
      <w:r>
        <w:separator/>
      </w:r>
    </w:p>
  </w:endnote>
  <w:endnote w:type="continuationSeparator" w:id="0">
    <w:p w:rsidR="003A25A8" w:rsidRDefault="003A25A8" w:rsidP="00CB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BE1DFD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BE1DFD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BE1DFD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BE1DFD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5C63FA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BE1DFD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BE1DFD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BE1DFD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5A8" w:rsidRDefault="003A25A8" w:rsidP="00CB7B64">
      <w:pPr>
        <w:spacing w:after="0" w:line="240" w:lineRule="auto"/>
      </w:pPr>
      <w:r>
        <w:separator/>
      </w:r>
    </w:p>
  </w:footnote>
  <w:footnote w:type="continuationSeparator" w:id="0">
    <w:p w:rsidR="003A25A8" w:rsidRDefault="003A25A8" w:rsidP="00CB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BE1DF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C63FA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83AB075" wp14:editId="4E903199">
          <wp:simplePos x="0" y="0"/>
          <wp:positionH relativeFrom="column">
            <wp:posOffset>-632460</wp:posOffset>
          </wp:positionH>
          <wp:positionV relativeFrom="paragraph">
            <wp:posOffset>-354965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:rsidR="00894E9C" w:rsidRDefault="00BE1DFD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894E9C" w:rsidRDefault="00BE1DFD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5C7C8F" w:rsidRDefault="005C63FA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A91250" w:rsidRDefault="005C63FA" w:rsidP="00894E9C">
    <w:pPr>
      <w:pStyle w:val="Encabezado"/>
      <w:tabs>
        <w:tab w:val="clear" w:pos="4252"/>
        <w:tab w:val="clear" w:pos="8504"/>
        <w:tab w:val="left" w:pos="2326"/>
      </w:tabs>
      <w:ind w:left="2832"/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ab/>
    </w:r>
    <w:r w:rsidRPr="00706042">
      <w:rPr>
        <w:rFonts w:ascii="Palatino Linotype" w:hAnsi="Palatino Linotype" w:cs="Arial"/>
        <w:sz w:val="20"/>
        <w:szCs w:val="20"/>
      </w:rPr>
      <w:t>RECURSO DE REVISIÓN</w:t>
    </w:r>
    <w:r>
      <w:rPr>
        <w:rFonts w:ascii="Palatino Linotype" w:hAnsi="Palatino Linotype" w:cs="Arial"/>
        <w:sz w:val="20"/>
        <w:szCs w:val="20"/>
      </w:rPr>
      <w:t xml:space="preserve"> </w:t>
    </w:r>
    <w:r w:rsidRPr="00A91250">
      <w:rPr>
        <w:rFonts w:ascii="Palatino Linotype" w:hAnsi="Palatino Linotype" w:cs="Arial"/>
        <w:sz w:val="20"/>
        <w:szCs w:val="20"/>
      </w:rPr>
      <w:t>0</w:t>
    </w:r>
    <w:r w:rsidR="00CB7B64">
      <w:rPr>
        <w:rFonts w:ascii="Palatino Linotype" w:hAnsi="Palatino Linotype" w:cs="Arial"/>
        <w:sz w:val="20"/>
        <w:szCs w:val="20"/>
      </w:rPr>
      <w:t>4030</w:t>
    </w:r>
    <w:r w:rsidRPr="00A91250">
      <w:rPr>
        <w:rFonts w:ascii="Palatino Linotype" w:hAnsi="Palatino Linotype" w:cs="Arial"/>
        <w:sz w:val="20"/>
        <w:szCs w:val="20"/>
      </w:rPr>
      <w:t>/INFOEM/IP/RR/201</w:t>
    </w:r>
    <w:r>
      <w:rPr>
        <w:rFonts w:ascii="Palatino Linotype" w:hAnsi="Palatino Linotype" w:cs="Arial"/>
        <w:sz w:val="20"/>
        <w:szCs w:val="20"/>
      </w:rPr>
      <w:t>8</w:t>
    </w:r>
  </w:p>
  <w:p w:rsidR="00D406EF" w:rsidRDefault="00BE1DFD" w:rsidP="005A28C0">
    <w:pPr>
      <w:pStyle w:val="Encabezado"/>
      <w:tabs>
        <w:tab w:val="clear" w:pos="4252"/>
        <w:tab w:val="clear" w:pos="8504"/>
        <w:tab w:val="left" w:pos="2326"/>
      </w:tabs>
      <w:ind w:left="2832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0" type="#_x0000_t136" style="position:absolute;left:0;text-align:left;margin-left:0;margin-top:0;width:614.65pt;height:81.9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BE1DF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51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17490"/>
    <w:multiLevelType w:val="hybridMultilevel"/>
    <w:tmpl w:val="22E4DEEE"/>
    <w:lvl w:ilvl="0" w:tplc="5EFE98EE">
      <w:start w:val="1"/>
      <w:numFmt w:val="decimal"/>
      <w:lvlText w:val="%1."/>
      <w:lvlJc w:val="left"/>
      <w:pPr>
        <w:ind w:left="5180" w:hanging="360"/>
      </w:pPr>
      <w:rPr>
        <w:rFonts w:hint="default"/>
        <w:b/>
        <w:i w:val="0"/>
        <w:sz w:val="24"/>
      </w:rPr>
    </w:lvl>
    <w:lvl w:ilvl="1" w:tplc="29E0ED4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A0011">
      <w:start w:val="1"/>
      <w:numFmt w:val="decimal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A306CC5E">
      <w:start w:val="1"/>
      <w:numFmt w:val="decimal"/>
      <w:lvlText w:val="%4."/>
      <w:lvlJc w:val="left"/>
      <w:pPr>
        <w:ind w:left="928" w:hanging="360"/>
      </w:pPr>
      <w:rPr>
        <w:b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64"/>
    <w:rsid w:val="000652F0"/>
    <w:rsid w:val="000B5CFD"/>
    <w:rsid w:val="000F4392"/>
    <w:rsid w:val="00121C68"/>
    <w:rsid w:val="003607DE"/>
    <w:rsid w:val="003A25A8"/>
    <w:rsid w:val="00546959"/>
    <w:rsid w:val="005C63FA"/>
    <w:rsid w:val="00671457"/>
    <w:rsid w:val="006F1617"/>
    <w:rsid w:val="0095708C"/>
    <w:rsid w:val="00A768C2"/>
    <w:rsid w:val="00BE1DFD"/>
    <w:rsid w:val="00C23B43"/>
    <w:rsid w:val="00C9714C"/>
    <w:rsid w:val="00CB7B64"/>
    <w:rsid w:val="00FF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9B66BAB3-C7A3-46F9-A6AD-F762E9BE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B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7B64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B7B64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B7B64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B7B64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121C68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121C68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5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5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1022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2018-12-17T19:47:00Z</cp:lastPrinted>
  <dcterms:created xsi:type="dcterms:W3CDTF">2018-12-17T16:16:00Z</dcterms:created>
  <dcterms:modified xsi:type="dcterms:W3CDTF">2019-01-23T21:39:00Z</dcterms:modified>
</cp:coreProperties>
</file>